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A49DF5" w14:textId="77777777" w:rsidR="002067FB" w:rsidRPr="003E4449" w:rsidRDefault="008B4844" w:rsidP="00D464C2">
      <w:pPr>
        <w:pStyle w:val="berschrift1"/>
        <w:rPr>
          <w:rFonts w:cs="Arial"/>
          <w:szCs w:val="24"/>
        </w:rPr>
      </w:pPr>
      <w:r>
        <w:t>Folha de solução Caixa de câmbio Modelo 4 (com variantes) – Mecanismo de quatro barras, manivela de propulsão e elevador de tesoura</w:t>
      </w:r>
    </w:p>
    <w:p w14:paraId="584C8683" w14:textId="77777777" w:rsidR="002067FB" w:rsidRPr="003E4449" w:rsidRDefault="005A19AC" w:rsidP="00E8187C">
      <w:pPr>
        <w:pStyle w:val="Abstract"/>
        <w:rPr>
          <w:rFonts w:ascii="Arial" w:hAnsi="Arial" w:cs="Arial"/>
        </w:rPr>
      </w:pPr>
      <w:r>
        <w:rPr>
          <w:rFonts w:ascii="Arial" w:hAnsi="Arial"/>
        </w:rPr>
        <w:t>Os alunos são auxiliados na construção e resolução de tarefas individuais através do fornecimento de instruções de montagem (veja anexo). Nas tarefas onde isto é útil, isso é indicado no início da folha de solução.</w:t>
      </w:r>
    </w:p>
    <w:p w14:paraId="0AD12683" w14:textId="77777777" w:rsidR="00AD2F14" w:rsidRDefault="00AD2F14" w:rsidP="00AD2F14">
      <w:pPr>
        <w:rPr>
          <w:rFonts w:asciiTheme="minorBidi" w:hAnsiTheme="minorBidi" w:cstheme="minorBidi"/>
        </w:rPr>
      </w:pPr>
      <w:r>
        <w:rPr>
          <w:rFonts w:asciiTheme="minorBidi" w:hAnsiTheme="minorBidi"/>
          <w:i/>
          <w:iCs/>
        </w:rPr>
        <w:t>Nota sobre a história da tecnologia</w:t>
      </w:r>
      <w:r>
        <w:rPr>
          <w:rFonts w:asciiTheme="minorBidi" w:hAnsiTheme="minorBidi"/>
        </w:rPr>
        <w:t xml:space="preserve">: As manivelas de propulsão eram usadas na antiguidade para acionar o movimento de giro de uma roda d'água para serras de pedra. Eles são comprovados para o século 3 d.C. Com o desenvolvimento da máquina a vapor para o "motor a vapor" por </w:t>
      </w:r>
      <w:r>
        <w:rPr>
          <w:rFonts w:asciiTheme="minorBidi" w:hAnsiTheme="minorBidi"/>
          <w:i/>
          <w:iCs/>
        </w:rPr>
        <w:t>James Watt</w:t>
      </w:r>
      <w:r>
        <w:rPr>
          <w:rFonts w:asciiTheme="minorBidi" w:hAnsiTheme="minorBidi"/>
        </w:rPr>
        <w:t xml:space="preserve"> (1736-1819), eles ganharam no final do século 18. um significado central como virabrequim.</w:t>
      </w:r>
    </w:p>
    <w:p w14:paraId="14BF17AE" w14:textId="77777777" w:rsidR="00D464C2" w:rsidRDefault="00D464C2" w:rsidP="00AD2F14">
      <w:pPr>
        <w:rPr>
          <w:rFonts w:ascii="Arial" w:hAnsi="Arial" w:cs="Arial"/>
        </w:rPr>
      </w:pPr>
    </w:p>
    <w:p w14:paraId="01FC2882" w14:textId="77777777" w:rsidR="00EF3363" w:rsidRDefault="00EF3363" w:rsidP="00EF3363">
      <w:pPr>
        <w:pStyle w:val="berschrift2"/>
        <w:rPr>
          <w:rFonts w:cs="Arial"/>
        </w:rPr>
      </w:pPr>
      <w:r>
        <w:t>Tarefa de construção</w:t>
      </w:r>
    </w:p>
    <w:p w14:paraId="41AAC2D7" w14:textId="6EF14C94" w:rsidR="00EF3363" w:rsidRPr="003E4449" w:rsidRDefault="003573A3" w:rsidP="00EF3363">
      <w:pPr>
        <w:rPr>
          <w:rFonts w:ascii="Arial" w:hAnsi="Arial" w:cs="Arial"/>
        </w:rPr>
      </w:pPr>
      <w:r>
        <w:rPr>
          <w:noProof/>
        </w:rPr>
        <w:drawing>
          <wp:inline distT="0" distB="0" distL="0" distR="0" wp14:anchorId="3A13B630" wp14:editId="54B35B98">
            <wp:extent cx="5760085" cy="3846830"/>
            <wp:effectExtent l="0" t="0" r="0" b="0"/>
            <wp:docPr id="3" name="Grafik 3"/>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3846830"/>
                    </a:xfrm>
                    <a:prstGeom prst="rect">
                      <a:avLst/>
                    </a:prstGeom>
                    <a:noFill/>
                    <a:ln>
                      <a:noFill/>
                    </a:ln>
                  </pic:spPr>
                </pic:pic>
              </a:graphicData>
            </a:graphic>
          </wp:inline>
        </w:drawing>
      </w:r>
    </w:p>
    <w:p w14:paraId="4F01941D" w14:textId="77777777" w:rsidR="00EF3363" w:rsidRDefault="00437560" w:rsidP="00EF3363">
      <w:pPr>
        <w:rPr>
          <w:rFonts w:ascii="Arial" w:hAnsi="Arial" w:cs="Arial"/>
        </w:rPr>
      </w:pPr>
      <w:r>
        <w:rPr>
          <w:rFonts w:ascii="Arial" w:hAnsi="Arial"/>
        </w:rPr>
        <w:t>Uma possível construção do limpador de para-brisa.</w:t>
      </w:r>
    </w:p>
    <w:p w14:paraId="0A9BFD7F" w14:textId="77777777" w:rsidR="00437560" w:rsidRDefault="00437560" w:rsidP="00D464C2">
      <w:pPr>
        <w:rPr>
          <w:rFonts w:ascii="Arial" w:hAnsi="Arial" w:cs="Arial"/>
        </w:rPr>
      </w:pPr>
      <w:r>
        <w:rPr>
          <w:rFonts w:ascii="Arial" w:hAnsi="Arial"/>
        </w:rPr>
        <w:t>A deflexão lateral das escovas de para-brisa pode ser reduzida ou aumentada por meio de uma alavanca maior ou menor abaixo da conexão dos dois braços oscilantes.</w:t>
      </w:r>
    </w:p>
    <w:p w14:paraId="1D58A643" w14:textId="77777777" w:rsidR="00D464C2" w:rsidRDefault="00D464C2" w:rsidP="00D464C2">
      <w:pPr>
        <w:rPr>
          <w:rFonts w:ascii="Arial" w:hAnsi="Arial" w:cs="Arial"/>
          <w:bCs/>
          <w:sz w:val="28"/>
          <w:szCs w:val="16"/>
        </w:rPr>
      </w:pPr>
    </w:p>
    <w:p w14:paraId="6CEF29DC" w14:textId="77777777" w:rsidR="00EF3363" w:rsidRPr="003E4449" w:rsidRDefault="00EF3363" w:rsidP="00EF3363">
      <w:pPr>
        <w:pStyle w:val="berschrift2"/>
        <w:rPr>
          <w:rFonts w:cs="Arial"/>
        </w:rPr>
      </w:pPr>
      <w:r>
        <w:lastRenderedPageBreak/>
        <w:t>Tarefa experimental</w:t>
      </w:r>
    </w:p>
    <w:p w14:paraId="2E25CEBD" w14:textId="77777777" w:rsidR="00EF3363" w:rsidRDefault="0053686C" w:rsidP="00437560">
      <w:pPr>
        <w:rPr>
          <w:rFonts w:ascii="Arial" w:hAnsi="Arial" w:cs="Arial"/>
        </w:rPr>
      </w:pPr>
      <w:r>
        <w:rPr>
          <w:rFonts w:ascii="Arial" w:hAnsi="Arial"/>
        </w:rPr>
        <w:t>1. A caixa de câmbio de alimentação requer uma roda com uma lingueta para que ela role apenas em uma direção, mas trava na outra direção, "puxando" assim uma folha de papel por baixo, por exemplo.</w:t>
      </w:r>
    </w:p>
    <w:p w14:paraId="7B78FF33" w14:textId="6327F032" w:rsidR="00437560" w:rsidRPr="003E4449" w:rsidRDefault="003573A3" w:rsidP="00437560">
      <w:pPr>
        <w:rPr>
          <w:rFonts w:ascii="Arial" w:hAnsi="Arial" w:cs="Arial"/>
        </w:rPr>
      </w:pPr>
      <w:r>
        <w:rPr>
          <w:noProof/>
        </w:rPr>
        <w:drawing>
          <wp:inline distT="0" distB="0" distL="0" distR="0" wp14:anchorId="0E369E69" wp14:editId="13688E88">
            <wp:extent cx="5760085" cy="3535680"/>
            <wp:effectExtent l="0" t="0" r="0" b="0"/>
            <wp:docPr id="5" name="Grafik 5"/>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3535680"/>
                    </a:xfrm>
                    <a:prstGeom prst="rect">
                      <a:avLst/>
                    </a:prstGeom>
                    <a:noFill/>
                    <a:ln>
                      <a:noFill/>
                    </a:ln>
                  </pic:spPr>
                </pic:pic>
              </a:graphicData>
            </a:graphic>
          </wp:inline>
        </w:drawing>
      </w:r>
    </w:p>
    <w:p w14:paraId="6BE33FDC" w14:textId="77777777" w:rsidR="00437560" w:rsidRDefault="00437560" w:rsidP="00437560">
      <w:pPr>
        <w:rPr>
          <w:rFonts w:ascii="Arial" w:hAnsi="Arial" w:cs="Arial"/>
        </w:rPr>
      </w:pPr>
      <w:r>
        <w:rPr>
          <w:rFonts w:ascii="Arial" w:hAnsi="Arial"/>
        </w:rPr>
        <w:t>A alimentação é determinada pelo excêntrico utilizado; nesta construção, isto é cerca de 4,75 cm.</w:t>
      </w:r>
    </w:p>
    <w:p w14:paraId="0815D057" w14:textId="77777777" w:rsidR="0053686C" w:rsidRDefault="0053686C" w:rsidP="00437560">
      <w:pPr>
        <w:rPr>
          <w:rFonts w:ascii="Arial" w:hAnsi="Arial" w:cs="Arial"/>
        </w:rPr>
      </w:pPr>
    </w:p>
    <w:p w14:paraId="47E63EFF" w14:textId="77777777" w:rsidR="0053686C" w:rsidRDefault="0053686C" w:rsidP="0053686C">
      <w:pPr>
        <w:rPr>
          <w:rFonts w:ascii="Arial" w:hAnsi="Arial" w:cs="Arial"/>
        </w:rPr>
      </w:pPr>
      <w:r>
        <w:rPr>
          <w:rFonts w:ascii="Arial" w:hAnsi="Arial"/>
        </w:rPr>
        <w:t>2. O curso do macaco hidráulico pode ser aumentado através da extensão da engrenagem helicoidal ou pela adição de pares de escoras adicionais para estender o curso da tesoura. Na primeira solução aumenta o comprimento da caixa de câmbio. Para que o elevador de tesoura não se torne muito estreito e, portanto, estaticamente instável, o comprimento das escoras também deve ser aumentado na mesma medida. Na segunda solução é requerida mais potência para o mesmo curso, uma vez que o trajeto sobre o qual a porca sem-fim é movida permanece a mesma. A amplificação da potência da engrenagem de elevação diminui, portanto.</w:t>
      </w:r>
    </w:p>
    <w:p w14:paraId="670B889D" w14:textId="77777777" w:rsidR="0053686C" w:rsidRDefault="0053686C" w:rsidP="00437560">
      <w:pPr>
        <w:rPr>
          <w:rFonts w:ascii="Arial" w:hAnsi="Arial" w:cs="Arial"/>
        </w:rPr>
      </w:pPr>
    </w:p>
    <w:p w14:paraId="4084CFEB" w14:textId="77777777" w:rsidR="005A19AC" w:rsidRPr="00D464C2" w:rsidRDefault="005A19AC">
      <w:pPr>
        <w:spacing w:after="0"/>
        <w:jc w:val="left"/>
        <w:rPr>
          <w:rFonts w:ascii="Arial" w:hAnsi="Arial" w:cs="Arial"/>
          <w:bCs/>
          <w:sz w:val="32"/>
          <w:szCs w:val="16"/>
        </w:rPr>
      </w:pPr>
      <w:r>
        <w:br w:type="page"/>
      </w:r>
    </w:p>
    <w:p w14:paraId="42293EE4" w14:textId="112ECC03" w:rsidR="005A19AC" w:rsidRDefault="00F6603E" w:rsidP="005A19AC">
      <w:pPr>
        <w:pStyle w:val="Titel"/>
      </w:pPr>
      <w:r>
        <w:lastRenderedPageBreak/>
        <w:t>Anexo</w:t>
      </w:r>
    </w:p>
    <w:p w14:paraId="435E8679" w14:textId="3832E24B" w:rsidR="005A19AC" w:rsidRDefault="005A19AC" w:rsidP="00776219">
      <w:pPr>
        <w:pStyle w:val="berschrift2"/>
      </w:pPr>
      <w:r>
        <w:t>Instruções de montagem e modelos para a caixa de câmbio e modelos:</w:t>
      </w:r>
    </w:p>
    <w:p w14:paraId="349D8242" w14:textId="2C053330" w:rsidR="005A19AC" w:rsidRDefault="00D464C2" w:rsidP="00BB0B61">
      <w:pPr>
        <w:jc w:val="left"/>
        <w:rPr>
          <w:rFonts w:ascii="Arial" w:hAnsi="Arial" w:cs="Arial"/>
        </w:rPr>
      </w:pPr>
      <w:r>
        <w:rPr>
          <w:rFonts w:ascii="Arial" w:hAnsi="Arial"/>
        </w:rPr>
        <w:t>Modelo 4: Instruções de montagem mecanismo de quatro barras, instruções de montagem limpador de para-brisa, instruções de montagem manivela de propulsão, instruções de montagem caixa de câmbio de alimentação, instruções de montagem macaco hidráulico/elevador de tesoura</w:t>
      </w:r>
    </w:p>
    <w:sectPr w:rsidR="005A19AC"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203CDF" w14:textId="77777777" w:rsidR="00D16BFA" w:rsidRDefault="00D16BFA">
      <w:r>
        <w:separator/>
      </w:r>
    </w:p>
  </w:endnote>
  <w:endnote w:type="continuationSeparator" w:id="0">
    <w:p w14:paraId="0F731B19"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2487BF" w14:textId="77777777" w:rsidR="00CB4B96" w:rsidRDefault="00CB4B96">
    <w:pPr>
      <w:pStyle w:val="Fuzeile"/>
    </w:pPr>
    <w:r>
      <w:fldChar w:fldCharType="begin"/>
    </w:r>
    <w:r>
      <w:instrText>PAGE   \* MERGEFORMAT</w:instrText>
    </w:r>
    <w:r>
      <w:fldChar w:fldCharType="separate"/>
    </w:r>
    <w:r w:rsidR="00123AA0">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35E2A5" w14:textId="77777777" w:rsidR="00CB4B96" w:rsidRDefault="00CB4B96">
    <w:pPr>
      <w:pStyle w:val="Fuzeile"/>
    </w:pPr>
    <w:r>
      <w:tab/>
    </w:r>
    <w:r>
      <w:tab/>
    </w:r>
    <w:r>
      <w:fldChar w:fldCharType="begin"/>
    </w:r>
    <w:r>
      <w:instrText>PAGE   \* MERGEFORMAT</w:instrText>
    </w:r>
    <w:r>
      <w:fldChar w:fldCharType="separate"/>
    </w:r>
    <w:r w:rsidR="00F6603E">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8E7ED0" w14:textId="77777777" w:rsidR="00D16BFA" w:rsidRDefault="00D16BFA">
      <w:r>
        <w:separator/>
      </w:r>
    </w:p>
  </w:footnote>
  <w:footnote w:type="continuationSeparator" w:id="0">
    <w:p w14:paraId="546B214F"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7698E" w14:textId="77777777" w:rsidR="00CB4B96" w:rsidRDefault="00CB4B96" w:rsidP="00E96821">
    <w:pPr>
      <w:pStyle w:val="Kopfzeile"/>
    </w:pPr>
    <w:r>
      <w:rPr>
        <w:szCs w:val="24"/>
        <w:highlight w:val="yellow"/>
      </w:rPr>
      <w:t>CAMPO DE TEMA</w:t>
    </w:r>
    <w:r>
      <w:t xml:space="preserve"> </w:t>
    </w:r>
    <w:r>
      <w:tab/>
    </w:r>
    <w:r>
      <w:tab/>
    </w:r>
    <w:r>
      <w:rPr>
        <w:noProof/>
        <w:lang w:val="de-DE"/>
      </w:rPr>
      <w:drawing>
        <wp:inline distT="0" distB="0" distL="0" distR="0" wp14:anchorId="6C7B25D0" wp14:editId="4B669379">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E2E71D" w14:textId="77777777" w:rsidR="00CB4B96" w:rsidRDefault="00CB4B96" w:rsidP="00697BAC">
    <w:pPr>
      <w:pStyle w:val="Kopfzeile"/>
      <w:tabs>
        <w:tab w:val="clear" w:pos="4535"/>
        <w:tab w:val="center" w:pos="6946"/>
      </w:tabs>
    </w:pPr>
    <w:r>
      <w:rPr>
        <w:noProof/>
        <w:lang w:val="de-DE"/>
      </w:rPr>
      <w:drawing>
        <wp:anchor distT="0" distB="0" distL="114300" distR="114300" simplePos="0" relativeHeight="251658240" behindDoc="0" locked="0" layoutInCell="1" allowOverlap="1" wp14:anchorId="39346CFD" wp14:editId="2B45EC32">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Caixa de câmbio - Conjunto de classes Nível secundário I+II</w:t>
    </w:r>
    <w:r>
      <w:tab/>
    </w:r>
    <w:r>
      <w:tab/>
    </w:r>
    <w:r>
      <w:rPr>
        <w:noProof/>
        <w:lang w:val="de-DE"/>
      </w:rPr>
      <w:drawing>
        <wp:inline distT="0" distB="0" distL="0" distR="0" wp14:anchorId="3482FC2D" wp14:editId="2011252A">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45D9"/>
    <w:rsid w:val="000656BD"/>
    <w:rsid w:val="000722C8"/>
    <w:rsid w:val="00073211"/>
    <w:rsid w:val="00076368"/>
    <w:rsid w:val="000764B6"/>
    <w:rsid w:val="000768BA"/>
    <w:rsid w:val="000800CF"/>
    <w:rsid w:val="00083EE8"/>
    <w:rsid w:val="000A14B0"/>
    <w:rsid w:val="000A58E5"/>
    <w:rsid w:val="000B0025"/>
    <w:rsid w:val="000B3FBA"/>
    <w:rsid w:val="000C0C66"/>
    <w:rsid w:val="000D0BC4"/>
    <w:rsid w:val="000D3717"/>
    <w:rsid w:val="000D44BE"/>
    <w:rsid w:val="000D601F"/>
    <w:rsid w:val="000D7297"/>
    <w:rsid w:val="000E3792"/>
    <w:rsid w:val="000F05B0"/>
    <w:rsid w:val="000F116C"/>
    <w:rsid w:val="000F7641"/>
    <w:rsid w:val="000F7CFD"/>
    <w:rsid w:val="001064D3"/>
    <w:rsid w:val="00111235"/>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E27"/>
    <w:rsid w:val="003409A2"/>
    <w:rsid w:val="00341FA6"/>
    <w:rsid w:val="00342916"/>
    <w:rsid w:val="0035076B"/>
    <w:rsid w:val="003573A3"/>
    <w:rsid w:val="0035785D"/>
    <w:rsid w:val="003612D5"/>
    <w:rsid w:val="0036332F"/>
    <w:rsid w:val="00363EE2"/>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F4669"/>
    <w:rsid w:val="003F4A96"/>
    <w:rsid w:val="003F5601"/>
    <w:rsid w:val="004012C1"/>
    <w:rsid w:val="004135B5"/>
    <w:rsid w:val="00413E03"/>
    <w:rsid w:val="004218BA"/>
    <w:rsid w:val="004306E6"/>
    <w:rsid w:val="00434525"/>
    <w:rsid w:val="00435EA1"/>
    <w:rsid w:val="00437560"/>
    <w:rsid w:val="004377CB"/>
    <w:rsid w:val="00445D20"/>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3686C"/>
    <w:rsid w:val="00540A33"/>
    <w:rsid w:val="0054320A"/>
    <w:rsid w:val="00543BE7"/>
    <w:rsid w:val="005450E2"/>
    <w:rsid w:val="00573ACB"/>
    <w:rsid w:val="00576668"/>
    <w:rsid w:val="005771A4"/>
    <w:rsid w:val="00591572"/>
    <w:rsid w:val="005940DF"/>
    <w:rsid w:val="00595245"/>
    <w:rsid w:val="005974E8"/>
    <w:rsid w:val="005A19AC"/>
    <w:rsid w:val="005A49AD"/>
    <w:rsid w:val="005C3C3E"/>
    <w:rsid w:val="005C6BE9"/>
    <w:rsid w:val="005D2CD9"/>
    <w:rsid w:val="005E57C1"/>
    <w:rsid w:val="005F6FD5"/>
    <w:rsid w:val="005F7EED"/>
    <w:rsid w:val="00603326"/>
    <w:rsid w:val="006158A5"/>
    <w:rsid w:val="00617BB0"/>
    <w:rsid w:val="00626653"/>
    <w:rsid w:val="00626CB7"/>
    <w:rsid w:val="00631B87"/>
    <w:rsid w:val="00632C08"/>
    <w:rsid w:val="00633EF6"/>
    <w:rsid w:val="00643E62"/>
    <w:rsid w:val="006501CF"/>
    <w:rsid w:val="00654AAA"/>
    <w:rsid w:val="00660776"/>
    <w:rsid w:val="006618BE"/>
    <w:rsid w:val="006705D1"/>
    <w:rsid w:val="00671C11"/>
    <w:rsid w:val="006735F3"/>
    <w:rsid w:val="00697BAC"/>
    <w:rsid w:val="006B181A"/>
    <w:rsid w:val="006B2928"/>
    <w:rsid w:val="006B4FFF"/>
    <w:rsid w:val="006B5425"/>
    <w:rsid w:val="006C14DA"/>
    <w:rsid w:val="006C54DD"/>
    <w:rsid w:val="006E3468"/>
    <w:rsid w:val="006E5040"/>
    <w:rsid w:val="006E72F4"/>
    <w:rsid w:val="006F1E9C"/>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2073"/>
    <w:rsid w:val="00953D33"/>
    <w:rsid w:val="009547CD"/>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05207"/>
    <w:rsid w:val="00A15743"/>
    <w:rsid w:val="00A23D81"/>
    <w:rsid w:val="00A304DD"/>
    <w:rsid w:val="00A33BF2"/>
    <w:rsid w:val="00A37375"/>
    <w:rsid w:val="00A5234E"/>
    <w:rsid w:val="00A53FC0"/>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60078"/>
    <w:rsid w:val="00B61D2A"/>
    <w:rsid w:val="00B638A7"/>
    <w:rsid w:val="00B65E65"/>
    <w:rsid w:val="00B76AD1"/>
    <w:rsid w:val="00B820A9"/>
    <w:rsid w:val="00B83A4A"/>
    <w:rsid w:val="00B90F5A"/>
    <w:rsid w:val="00B92265"/>
    <w:rsid w:val="00B93F9E"/>
    <w:rsid w:val="00BB0B61"/>
    <w:rsid w:val="00BB1688"/>
    <w:rsid w:val="00BB320D"/>
    <w:rsid w:val="00BB3A6C"/>
    <w:rsid w:val="00BD239F"/>
    <w:rsid w:val="00BD27A4"/>
    <w:rsid w:val="00BD40EC"/>
    <w:rsid w:val="00BE7656"/>
    <w:rsid w:val="00BF158E"/>
    <w:rsid w:val="00BF2A4C"/>
    <w:rsid w:val="00BF56BF"/>
    <w:rsid w:val="00BF665D"/>
    <w:rsid w:val="00C1655E"/>
    <w:rsid w:val="00C17CA0"/>
    <w:rsid w:val="00C23343"/>
    <w:rsid w:val="00C247E9"/>
    <w:rsid w:val="00C35FA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1D4"/>
    <w:rsid w:val="00D247B8"/>
    <w:rsid w:val="00D461ED"/>
    <w:rsid w:val="00D462A8"/>
    <w:rsid w:val="00D464C2"/>
    <w:rsid w:val="00D479CF"/>
    <w:rsid w:val="00D564E3"/>
    <w:rsid w:val="00D6676D"/>
    <w:rsid w:val="00D805C6"/>
    <w:rsid w:val="00D82084"/>
    <w:rsid w:val="00D83D7F"/>
    <w:rsid w:val="00D85B1D"/>
    <w:rsid w:val="00D8647C"/>
    <w:rsid w:val="00D94C19"/>
    <w:rsid w:val="00DA0436"/>
    <w:rsid w:val="00DA5B0E"/>
    <w:rsid w:val="00DB1666"/>
    <w:rsid w:val="00DB68D5"/>
    <w:rsid w:val="00DD3EDD"/>
    <w:rsid w:val="00DE2CE3"/>
    <w:rsid w:val="00DE6379"/>
    <w:rsid w:val="00DE69CA"/>
    <w:rsid w:val="00DE6E4A"/>
    <w:rsid w:val="00DF11EF"/>
    <w:rsid w:val="00E00F64"/>
    <w:rsid w:val="00E10555"/>
    <w:rsid w:val="00E1381D"/>
    <w:rsid w:val="00E140C9"/>
    <w:rsid w:val="00E1562C"/>
    <w:rsid w:val="00E173E1"/>
    <w:rsid w:val="00E21D5A"/>
    <w:rsid w:val="00E2236C"/>
    <w:rsid w:val="00E24A70"/>
    <w:rsid w:val="00E31328"/>
    <w:rsid w:val="00E43C3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D524D"/>
    <w:rsid w:val="00EE586D"/>
    <w:rsid w:val="00EF323F"/>
    <w:rsid w:val="00EF3363"/>
    <w:rsid w:val="00EF6673"/>
    <w:rsid w:val="00F04C77"/>
    <w:rsid w:val="00F225D5"/>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6603E"/>
    <w:rsid w:val="00F70A51"/>
    <w:rsid w:val="00F7267E"/>
    <w:rsid w:val="00F75A53"/>
    <w:rsid w:val="00F7716E"/>
    <w:rsid w:val="00F869B5"/>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3464C724"/>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t-BR"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pt-BR" w:eastAsia="de-DE" w:bidi="ar-SA"/>
    </w:rPr>
  </w:style>
  <w:style w:type="character" w:customStyle="1" w:styleId="Titel1Zchn">
    <w:name w:val="Titel (1) Zchn"/>
    <w:basedOn w:val="TitelZchn"/>
    <w:link w:val="Titel1"/>
    <w:rsid w:val="00CA31C2"/>
    <w:rPr>
      <w:rFonts w:ascii="Arial" w:hAnsi="Arial"/>
      <w:b/>
      <w:sz w:val="48"/>
      <w:szCs w:val="40"/>
      <w:lang w:val="pt-BR"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16B59F6-15C6-4442-8A91-EDD518205652}"/>
</file>

<file path=customXml/itemProps2.xml><?xml version="1.0" encoding="utf-8"?>
<ds:datastoreItem xmlns:ds="http://schemas.openxmlformats.org/officeDocument/2006/customXml" ds:itemID="{96EA386F-BE96-44E8-8FCE-EDB571906F93}">
  <ds:schemaRefs>
    <ds:schemaRef ds:uri="http://purl.org/dc/elements/1.1/"/>
    <ds:schemaRef ds:uri="http://schemas.microsoft.com/office/2006/metadata/properties"/>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e047a197-46ab-4299-92cd-ec119e6fe81f"/>
    <ds:schemaRef ds:uri="ea79bf52-7098-41fc-8881-a3872bd99c43"/>
    <ds:schemaRef ds:uri="http://www.w3.org/XML/1998/namespace"/>
    <ds:schemaRef ds:uri="http://purl.org/dc/dcmitype/"/>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361</Words>
  <Characters>1883</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2240</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Edição 1/2011</dc:subject>
  <dc:creator>Dirk Fox</dc:creator>
  <cp:keywords/>
  <dc:description/>
  <cp:lastModifiedBy>Reich, Jasmin</cp:lastModifiedBy>
  <cp:revision>5</cp:revision>
  <cp:lastPrinted>2021-01-03T21:38:00Z</cp:lastPrinted>
  <dcterms:created xsi:type="dcterms:W3CDTF">2021-02-24T20:41:00Z</dcterms:created>
  <dcterms:modified xsi:type="dcterms:W3CDTF">2021-03-01T09:57:00Z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